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D4F9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Wymagania edukacyjne z języka niemieckiego w klasie 7 szkoły podstawowej</w:t>
      </w:r>
      <w:r w:rsidRPr="008D4F9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br/>
      </w:r>
      <w:r w:rsidRPr="008D4F9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br/>
      </w:r>
    </w:p>
    <w:tbl>
      <w:tblPr>
        <w:tblW w:w="1430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443"/>
        <w:gridCol w:w="1549"/>
        <w:gridCol w:w="2805"/>
        <w:gridCol w:w="2805"/>
        <w:gridCol w:w="2808"/>
        <w:gridCol w:w="2898"/>
      </w:tblGrid>
      <w:tr w:rsidR="008D4F9C" w:rsidRPr="008D4F9C" w:rsidTr="002C6F5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Zakres wiedzy i umiejętności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Poziomy wymagań edukacyjnych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Podstawowy poziom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wymagań edukacyjnych</w:t>
            </w: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Ponadpodstawowy poziom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wymagań edukacyjnych</w:t>
            </w:r>
          </w:p>
        </w:tc>
      </w:tr>
      <w:tr w:rsidR="008D4F9C" w:rsidRPr="008D4F9C" w:rsidTr="002C6F57">
        <w:tc>
          <w:tcPr>
            <w:tcW w:w="2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Wiedza</w:t>
            </w:r>
            <w:r w:rsidRPr="008D4F9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kern w:val="1"/>
                <w:lang w:eastAsia="hi-IN" w:bidi="hi-IN"/>
              </w:rPr>
              <w:t>(fonetyka, ortografia, środki językowe)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Ocena dopuszczająca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Ocena dostateczna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Ocena dobra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Ocena bardzo dobra</w:t>
            </w:r>
          </w:p>
        </w:tc>
      </w:tr>
      <w:tr w:rsidR="008D4F9C" w:rsidRPr="008D4F9C" w:rsidTr="002C6F57">
        <w:tc>
          <w:tcPr>
            <w:tcW w:w="2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F9C" w:rsidRPr="008D4F9C" w:rsidRDefault="008D4F9C" w:rsidP="008D4F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zna niewielką liczbę podstawowych słówek i wyrażeń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w wymowie i w piśmie popełnia liczne błędy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zna tylko podstawowe reguły gramatyczne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z trudem wykonuje zadania leksykalno-gramatyczne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zna podstawowe słownictwo i wyrażenia, ale popełnia błędy w ich wymowie i zapisie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zna większość podstawowych struktur gramatyczno-leksykalnych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zadania wykonuje powoli i z namysłem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zna większość słownictwa i wyrażeń i z reguły poprawnie je wymawia i zapisuje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zna wszystkie struktury gramatyczno-leksykalne i rzadko popełnia błędy w zadaniach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zna wszystkie wprowadzone słówka i wyrażenia, bezbłędnie je wymawia i zapisuje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zna wszystkie struktury gramatyczno-leksykalne i zadania wykonuje z reguły bezbłędnie</w:t>
            </w:r>
          </w:p>
        </w:tc>
      </w:tr>
      <w:tr w:rsidR="008D4F9C" w:rsidRPr="008D4F9C" w:rsidTr="002C6F57">
        <w:tc>
          <w:tcPr>
            <w:tcW w:w="2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Umiejętności </w:t>
            </w:r>
            <w:r w:rsidRPr="008D4F9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kern w:val="1"/>
                <w:lang w:eastAsia="hi-IN" w:bidi="hi-IN"/>
              </w:rPr>
              <w:t>1. receptywne (słuchanie/czytanie)</w:t>
            </w:r>
            <w:r w:rsidRPr="008D4F9C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</w: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  <w:t>2. produktywne</w:t>
            </w:r>
            <w:r w:rsidRPr="008D4F9C">
              <w:rPr>
                <w:rFonts w:ascii="Times New Roman" w:eastAsia="SimSun" w:hAnsi="Times New Roman" w:cs="Mangal"/>
                <w:kern w:val="1"/>
                <w:lang w:eastAsia="hi-IN" w:bidi="hi-IN"/>
              </w:rPr>
              <w:br/>
              <w:t>(mówienie/pisanie)</w:t>
            </w:r>
            <w:r w:rsidRPr="008D4F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br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Ocena dopuszczająca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Ocena dostateczna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Ocena dobra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Ocena bardzo dobra</w:t>
            </w:r>
          </w:p>
        </w:tc>
      </w:tr>
      <w:tr w:rsidR="008D4F9C" w:rsidRPr="008D4F9C" w:rsidTr="002C6F57">
        <w:tc>
          <w:tcPr>
            <w:tcW w:w="2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F9C" w:rsidRPr="008D4F9C" w:rsidRDefault="008D4F9C" w:rsidP="008D4F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rozumie podstawowe polecenia nauczyciela i bardzo proste i krótkie teksty odsłuchowe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rozumie ogólny sens tekstów pisanych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-nie potrafi lub wykonuje częściowo zadania odsłuchowe i na czytanie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 xml:space="preserve">            _____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wypowiada się krótkimi zdaniami i frazami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wypowiada się bardzo powoli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tworzy niespójne i proste teksty pisane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niewielki zakres słownictwa i struktur ogranicza wypowiedź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- błędy leksykalno-gramatyczne często zakłócają komunikację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- rozumie polecenia nauczyciela 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potrafi częściowo wykonać bezbłędnie zadania odsłuchowe i na rozumienie tekstów pisanych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 xml:space="preserve">          _____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wypowiada się dość powoli, ale dłuższymi zdaniami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tworzy bardzo proste,   teksty pisane, z niewielką liczbą błędów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 xml:space="preserve">- posiada wystarczający zasób słownictwa i struktur, żeby przekazać 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bardzo prostą informację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potrafi wypowiedzieć się logicznie i spójnie, choć z błędami, nie zakłócający-mi ogólnego sensu wypowiedzi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- rozumie wszystkie polecenia nauczyciela i poprawnie wykonuje zadania odsłuchowe i na rozumienie tekstów pisanych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 xml:space="preserve">         _____</w:t>
            </w: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wypowiada się dość płynnie, odpowiednio długimi zdaniami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tworzy proste spójne teksty pisane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 xml:space="preserve">- posiada urozmaicony zasób słownictwa, umożliwiający przekazanie prostej 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informacji w logiczny i spójny sposób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popełnia nieliczne błędy nie zakłócające komunikacji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- rozumie wszystkie polecenia nauczyciela i bezbłędnie wykonuje zadania odsłuchowe i na rozumienie tekstów pisanych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 xml:space="preserve">            _____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8D4F9C" w:rsidRPr="008D4F9C" w:rsidRDefault="008D4F9C" w:rsidP="008D4F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wypowiada się płynnie stosując poznane struktury gramatyczno-leksykalne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>- tworzy proste, logiczne i spójne teksty pisane, wykorzystując poznane słownictwo i struktury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  <w:t xml:space="preserve">- nie popełnia błędów gramatycznych i </w:t>
            </w:r>
            <w:r w:rsidRPr="008D4F9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leksykalnych </w:t>
            </w:r>
          </w:p>
        </w:tc>
      </w:tr>
    </w:tbl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D4F9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Ocenę niedostateczną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otrzymuje uczeń, który nie spełnia kryteriów oceny dopuszczającej, a deficyty w zakresie wiedzy i umiejętności nie pozwalają na kontynuację nauki na kolejnym etapie nauczania.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</w:p>
    <w:p w:rsidR="008D4F9C" w:rsidRPr="008D4F9C" w:rsidRDefault="008D4F9C" w:rsidP="008D4F9C">
      <w:pPr>
        <w:widowControl w:val="0"/>
        <w:suppressAutoHyphens/>
        <w:spacing w:after="0" w:line="240" w:lineRule="auto"/>
        <w:ind w:right="543" w:firstLine="142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8D4F9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Ocenę celującą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otrzymuje uczeń, który spełnia wszystkie kryteria oceny bardzo dobrej, a także wykazuje się dodatkowymi umiejętnościami                     i wiedzą wykraczającą poza wymagania oceny bardzo dobrej. Uczeń bierze udział w pozalekcyjnych formach doskonalenia umiejętności        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</w:t>
      </w:r>
      <w:bookmarkStart w:id="0" w:name="_GoBack"/>
      <w:bookmarkEnd w:id="0"/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i poszerzania wiedzy np. przez udział w projektach, olimpiadach językowych lub konkursach wiedzy o krajach niemieckojęzycznych.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D4F9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III Zakresy tematyczne podlegające ocenie na poziomie II.2</w:t>
      </w:r>
      <w:r w:rsidRPr="008D4F9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br/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człowiek (np. dane personalne, wygląd zewnętrzny, cechy charakteru, rzeczy osobiste, uczucia, emocje, umiejętności i zainteresowania);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miejsce zamieszkania (np. dom i jego okolica, pomieszczeń i wyposażenie domu, prace domowe)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edukacja (np. szkoła i jej pomieszczenia, przedmioty nauczania, uczenie się, przybory szkolne, życie szkoły);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praca (np. popularne zawody, miejsce pracy)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 życie prywatne (np. rodzina, znajomi i przyjaciele, czynności życia codziennego, określanie czasu, formy spędzania czasu wolnego, urodziny, święta); 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żywienie (np. artykuły spożywcze, posiłki, lokale gastronomiczne);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 zakupy i usługi (np. rodzaje sklepów, towary i ich cechy, sprzedawanie i kupowanie, środki płatnicze, korzystanie z usług); 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podróżowanie i turystyka (np. środki transportu i korzystanie z nich, orientacja w terenie, hotel, wycieczki);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kultura (np. uczestnictwo w kulturze, tradycje i zwyczaje);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 sport (np. dyscypliny sportu, sprzęt sportowy, obiekty sportowe, uprawianie sportu); 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zdrowie (np. samopoczucie, choroby, ich objawy i leczenie);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świat przyrody (np. pogoda, pory roku, rośliny i zwierzęta, krajobraz)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8D4F9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IV Struktury gramatyczne podlegające ocenie</w:t>
      </w:r>
      <w:r w:rsidRPr="008D4F9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br/>
      </w:r>
      <w:r w:rsidRPr="008D4F9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br/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Poniższe zestawienie struktur gramatycznych ma charakter orientacyjny. Struktur gramatycznych należy używać do realizacji tych funkcji językowych i sytuacji komunikacyjnych, w których mają one zastosowanie i które są niezbędne na danym etapie edukacyjnym i poziomie zaawansowania. 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8D4F9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br/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Rodzajnik</w:t>
      </w:r>
      <w:r w:rsidRPr="008D4F9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br/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rodzajniki (nieokreślony, określony) i ich stosowanie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stosowanie rzeczownika bez rodzajnika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Rzeczownik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odmiana rzeczownika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tworzenie liczby mnogiej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rzeczowniki złożone, zdrobniałe, określające zawód i wykonawcę czynności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odmiana imion własnych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rzeczownik po określeniu miary i wagi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Zaimek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zaimki osobowe, nieosobowe, zwrotne, dzierżawcze, wskazujące, pytające, nieokreślone, względne,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 zaimek wzajemny </w:t>
      </w:r>
      <w:proofErr w:type="spellStart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einander</w:t>
      </w:r>
      <w:proofErr w:type="spellEnd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br/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Przymiotnik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przymiotnik jako orzecznik i jako przydawka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regularne i nieregularne stopniowanie przymiotnika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przymiotniki utworzone od nazw miast, krajów i części świata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 przymiotnik z przedrostkiem </w:t>
      </w:r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-</w:t>
      </w:r>
      <w:proofErr w:type="spellStart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un</w:t>
      </w:r>
      <w:proofErr w:type="spellEnd"/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rekcja przymiotnika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Liczebnik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liczebniki główne, porządkowe, mnożna i nieokreślone,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użycie liczebników w oznaczaniu miary i wagi, powierzchni i objętości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Przysłówek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przysłówki zaimkowe w pytaniu i w odpowiedzi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regularne i nieregularne stopniowanie przysłówków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przysłówki czasu i miejsca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Partykuła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 użycie partykuł, np. </w:t>
      </w:r>
      <w:proofErr w:type="spellStart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sehr</w:t>
      </w:r>
      <w:proofErr w:type="spellEnd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viel</w:t>
      </w:r>
      <w:proofErr w:type="spellEnd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immer</w:t>
      </w:r>
      <w:proofErr w:type="spellEnd"/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Przyimek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przyimki z celownikiem, z biernikiem, z celownikiem lub z biernikiem, z dopełniaczem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Czasownik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 formy czasowe czasownika (strona czynna): </w:t>
      </w:r>
      <w:proofErr w:type="spellStart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Präsens</w:t>
      </w:r>
      <w:proofErr w:type="spellEnd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Präteritum</w:t>
      </w:r>
      <w:proofErr w:type="spellEnd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, Perfekt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 czasowniki posiłkowe: </w:t>
      </w:r>
      <w:proofErr w:type="spellStart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sein</w:t>
      </w:r>
      <w:proofErr w:type="spellEnd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haben</w:t>
      </w:r>
      <w:proofErr w:type="spellEnd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werden</w:t>
      </w:r>
      <w:proofErr w:type="spellEnd"/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czasowniki nieregularne ze zmianą samogłoski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czasowniki rozdzielnie i nierozdzielnie złożone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czasowniki zwrotne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 czasowniki modalne w trybie oznajmującym </w:t>
      </w: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 forma </w:t>
      </w:r>
      <w:proofErr w:type="spellStart"/>
      <w:r w:rsidRPr="008D4F9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möcht</w:t>
      </w:r>
      <w:proofErr w:type="spellEnd"/>
      <w:r w:rsidRPr="008D4F9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-</w:t>
      </w: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tryb rozkazujący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 bezokoliczniki z </w:t>
      </w:r>
      <w:proofErr w:type="spellStart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zu</w:t>
      </w:r>
      <w:proofErr w:type="spellEnd"/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i bez </w:t>
      </w:r>
      <w:proofErr w:type="spellStart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zu</w:t>
      </w:r>
      <w:proofErr w:type="spellEnd"/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rekcja czasowników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Składnia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zdania pojedyncze: oznajmujące, pytające, rozkazujące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- szyk wyrazów: prosty, przestawny i szyk zdania podrzędnie złożonego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 przeczenia: </w:t>
      </w:r>
      <w:proofErr w:type="spellStart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nein</w:t>
      </w:r>
      <w:proofErr w:type="spellEnd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nicht</w:t>
      </w:r>
      <w:proofErr w:type="spellEnd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8D4F9C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kein</w:t>
      </w:r>
      <w:proofErr w:type="spellEnd"/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i ich miejsce w zdaniu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zdania współrzędnie złożone ze spójnikami i bezspójnikowe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zdania podrzędnie złożone: podmiotowe, przydawkowe, dopełnieniowe, okolicznikowe przyczyny, czasu, celu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8D4F9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V Formy sprawdzania wiedzy i umiejętności ucznia: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prace klasowe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kartkówki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testy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zadania domowe (prace pisemne i projekty)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- wypowiedzi ustne (na forum i podczas pracy w grupach)</w:t>
      </w:r>
      <w:r w:rsidRPr="008D4F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8D4F9C" w:rsidRPr="008D4F9C" w:rsidRDefault="008D4F9C" w:rsidP="008D4F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A7157E" w:rsidRDefault="00A7157E"/>
    <w:sectPr w:rsidR="00A7157E" w:rsidSect="008D4F9C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9C"/>
    <w:rsid w:val="008D4F9C"/>
    <w:rsid w:val="00A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C684E-D233-45DF-8D18-8360D096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</dc:creator>
  <cp:keywords/>
  <dc:description/>
  <cp:lastModifiedBy>Iwona Sz</cp:lastModifiedBy>
  <cp:revision>1</cp:revision>
  <dcterms:created xsi:type="dcterms:W3CDTF">2017-09-22T06:40:00Z</dcterms:created>
  <dcterms:modified xsi:type="dcterms:W3CDTF">2017-09-22T06:42:00Z</dcterms:modified>
</cp:coreProperties>
</file>