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restauracja, legitymizm, równowaga europejska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wiedeńskiego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 xml:space="preserve">e postać Adama </w:t>
            </w:r>
            <w:proofErr w:type="spellStart"/>
            <w:r w:rsidR="000C2A46">
              <w:rPr>
                <w:rFonts w:ascii="Calibri" w:hAnsi="Calibri" w:cs="HelveticaNeueLTPro-Roman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proofErr w:type="spellStart"/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proofErr w:type="spellEnd"/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  <w:proofErr w:type="spellEnd"/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</w:t>
            </w:r>
            <w:proofErr w:type="spellEnd"/>
            <w:r w:rsidR="007F28F8" w:rsidRPr="007F28F8">
              <w:rPr>
                <w:rFonts w:ascii="Calibri" w:hAnsi="Calibri"/>
              </w:rPr>
              <w:t xml:space="preserve">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proofErr w:type="spellStart"/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proofErr w:type="spellStart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</w:t>
            </w:r>
            <w:proofErr w:type="spellEnd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, </w:t>
            </w:r>
            <w:proofErr w:type="spellStart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</w:t>
            </w:r>
            <w:proofErr w:type="spellEnd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proofErr w:type="spellStart"/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  <w:proofErr w:type="spellEnd"/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</w:t>
            </w:r>
            <w:r w:rsidR="008C1B1D" w:rsidRPr="00267889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="008C1B1D"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="008C1B1D" w:rsidRPr="00267889">
              <w:rPr>
                <w:rFonts w:ascii="Calibri" w:hAnsi="Calibri" w:cs="HelveticaNeueLTPro-Roman"/>
              </w:rPr>
              <w:t xml:space="preserve">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</w:t>
            </w:r>
            <w:proofErr w:type="spellEnd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 xml:space="preserve">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 w:rsidR="00D10108">
              <w:rPr>
                <w:rFonts w:ascii="Calibri" w:hAnsi="Calibri" w:cs="HelveticaNeueLTPro-Roman"/>
              </w:rPr>
              <w:t>Beselera</w:t>
            </w:r>
            <w:proofErr w:type="spellEnd"/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proofErr w:type="spellEnd"/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="00B406CA">
              <w:rPr>
                <w:rFonts w:ascii="Calibri" w:hAnsi="Calibri" w:cs="HelveticaNeueLTPro-Roman"/>
              </w:rPr>
              <w:t>führer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Wojna </w:t>
            </w:r>
            <w:r w:rsidRPr="00A921C6">
              <w:rPr>
                <w:rFonts w:ascii="Calibri" w:hAnsi="Calibri" w:cs="HelveticaNeueLTPro-Roman"/>
              </w:rPr>
              <w:lastRenderedPageBreak/>
              <w:t>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lastRenderedPageBreak/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lastRenderedPageBreak/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6B98">
              <w:rPr>
                <w:rFonts w:asciiTheme="minorHAnsi" w:hAnsiTheme="minorHAnsi" w:cstheme="minorHAnsi"/>
                <w:spacing w:val="-12"/>
              </w:rPr>
              <w:lastRenderedPageBreak/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 Tymczasowy </w:t>
            </w:r>
            <w:r>
              <w:rPr>
                <w:rFonts w:asciiTheme="minorHAnsi" w:hAnsiTheme="minorHAnsi" w:cstheme="minorHAnsi"/>
              </w:rPr>
              <w:lastRenderedPageBreak/>
              <w:t>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Konflikt </w:t>
            </w:r>
            <w:r w:rsidRPr="00367A99">
              <w:rPr>
                <w:rFonts w:ascii="Calibri" w:hAnsi="Calibri" w:cs="HelveticaNeueLTPro-Roman"/>
              </w:rPr>
              <w:lastRenderedPageBreak/>
              <w:t>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</w:t>
            </w:r>
            <w:r w:rsidR="00432302">
              <w:rPr>
                <w:rFonts w:asciiTheme="minorHAnsi" w:hAnsiTheme="minorHAnsi" w:cstheme="minorHAnsi"/>
              </w:rPr>
              <w:lastRenderedPageBreak/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ekspansji ukraińskiej </w:t>
            </w:r>
            <w:r>
              <w:rPr>
                <w:rFonts w:asciiTheme="minorHAnsi" w:hAnsiTheme="minorHAnsi" w:cstheme="minorHAnsi"/>
              </w:rPr>
              <w:lastRenderedPageBreak/>
              <w:t>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lastRenderedPageBreak/>
              <w:t>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Polskie kino </w:t>
            </w:r>
            <w:r w:rsidRPr="005015C6">
              <w:rPr>
                <w:rFonts w:ascii="Calibri" w:hAnsi="Calibri" w:cs="HelveticaNeueLTPro-Roman"/>
              </w:rPr>
              <w:lastRenderedPageBreak/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</w:t>
            </w:r>
            <w:r w:rsidRPr="00952E2C">
              <w:rPr>
                <w:rFonts w:asciiTheme="minorHAnsi" w:hAnsiTheme="minorHAnsi" w:cstheme="minorHAnsi"/>
              </w:rPr>
              <w:lastRenderedPageBreak/>
              <w:t>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postacie: Stefana </w:t>
            </w:r>
            <w:r>
              <w:rPr>
                <w:rFonts w:asciiTheme="minorHAnsi" w:hAnsiTheme="minorHAnsi" w:cstheme="minorHAnsi"/>
              </w:rPr>
              <w:lastRenderedPageBreak/>
              <w:t>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</w:t>
            </w:r>
            <w:r w:rsidR="00FF0630">
              <w:rPr>
                <w:rFonts w:asciiTheme="minorHAnsi" w:hAnsiTheme="minorHAnsi" w:cstheme="minorHAnsi"/>
              </w:rPr>
              <w:lastRenderedPageBreak/>
              <w:t xml:space="preserve">Schulza, Eugeniusza </w:t>
            </w:r>
            <w:proofErr w:type="spellStart"/>
            <w:r w:rsidR="00FF0630">
              <w:rPr>
                <w:rFonts w:asciiTheme="minorHAnsi" w:hAnsiTheme="minorHAnsi" w:cstheme="minorHAnsi"/>
              </w:rPr>
              <w:t>Bodo</w:t>
            </w:r>
            <w:proofErr w:type="spellEnd"/>
            <w:r w:rsidR="00FF0630">
              <w:rPr>
                <w:rFonts w:asciiTheme="minorHAnsi" w:hAnsiTheme="minorHAnsi" w:cstheme="minorHAnsi"/>
              </w:rPr>
              <w:t xml:space="preserve">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 xml:space="preserve">art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</w:t>
            </w:r>
            <w:r w:rsidR="006D6BFB">
              <w:rPr>
                <w:rFonts w:asciiTheme="minorHAnsi" w:hAnsiTheme="minorHAnsi" w:cstheme="minorHAnsi"/>
              </w:rPr>
              <w:lastRenderedPageBreak/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</w:t>
            </w:r>
            <w:r w:rsidRPr="004B4062">
              <w:rPr>
                <w:rFonts w:asciiTheme="minorHAnsi" w:hAnsiTheme="minorHAnsi" w:cstheme="minorHAnsi"/>
              </w:rPr>
              <w:lastRenderedPageBreak/>
              <w:t>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 xml:space="preserve">traktatu </w:t>
            </w:r>
            <w:r w:rsidRPr="004B4062">
              <w:rPr>
                <w:rFonts w:asciiTheme="minorHAnsi" w:hAnsiTheme="minorHAnsi" w:cstheme="minorHAnsi"/>
              </w:rPr>
              <w:lastRenderedPageBreak/>
              <w:t>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</w:t>
            </w:r>
            <w:r w:rsidRPr="004B4062">
              <w:rPr>
                <w:rFonts w:asciiTheme="minorHAnsi" w:hAnsiTheme="minorHAnsi" w:cstheme="minorHAnsi"/>
              </w:rPr>
              <w:lastRenderedPageBreak/>
              <w:t>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lastRenderedPageBreak/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o niestosowaniu </w:t>
            </w:r>
            <w:r w:rsidRPr="004B4062">
              <w:rPr>
                <w:rFonts w:asciiTheme="minorHAnsi" w:hAnsiTheme="minorHAnsi" w:cstheme="minorHAnsi"/>
              </w:rPr>
              <w:lastRenderedPageBreak/>
              <w:t>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5D" w:rsidRDefault="00D6555D" w:rsidP="00495CA6">
      <w:r>
        <w:separator/>
      </w:r>
    </w:p>
  </w:endnote>
  <w:endnote w:type="continuationSeparator" w:id="0">
    <w:p w:rsidR="00D6555D" w:rsidRDefault="00D6555D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0F27">
      <w:rPr>
        <w:noProof/>
      </w:rPr>
      <w:t>44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5D" w:rsidRDefault="00D6555D" w:rsidP="00495CA6">
      <w:r>
        <w:separator/>
      </w:r>
    </w:p>
  </w:footnote>
  <w:footnote w:type="continuationSeparator" w:id="0">
    <w:p w:rsidR="00D6555D" w:rsidRDefault="00D6555D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22022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54DD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555D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C7B57-AFD2-4536-80C3-53839F3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3780-593D-4C85-9F3F-116F5943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Wiesław Kamiński</cp:lastModifiedBy>
  <cp:revision>2</cp:revision>
  <cp:lastPrinted>2012-06-08T11:25:00Z</cp:lastPrinted>
  <dcterms:created xsi:type="dcterms:W3CDTF">2018-12-02T06:07:00Z</dcterms:created>
  <dcterms:modified xsi:type="dcterms:W3CDTF">2018-12-02T06:07:00Z</dcterms:modified>
</cp:coreProperties>
</file>